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CVE-2002-0969</w:t>
      </w:r>
    </w:p>
    <w:p>
      <w:r>
        <w:t>Buffer overflow in MySQL daemon (mysqld) before 3.23.50, and 4.0 beta before 4.02, on the Win32 platform, allows local users to execute arbitrary code via a long "datadir" parameter in the my.ini initialization file, whose permissions on Windows allow Full Control to the Everyone group.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0.29103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CWE-120: Buffer Copy without Checking Size of Input ('Classic Buffer Overflow')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CAPEC-9: Buffer Overflow in Local Command-Line Utilities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cpe:2.3:a:oracle:mysql:*:*:*:*:*:*:*:*</w:t>
      </w:r>
    </w:p>
    <w:p>
      <w:pPr>
        <w:pStyle w:val="ListBullet"/>
      </w:pPr>
      <w:r>
        <w:t>cpe:2.3:a:oracle:mysql:*:*:*:*:*:*:*:*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