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CVE-2004-0689</w:t>
      </w:r>
    </w:p>
    <w:p>
      <w:r>
        <w:t>KDE before 3.3.0 does not properly handle when certain symbolic links point to "stale" locations, which could allow local users to create or truncate arbitrary files.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0.06349</w:t>
      </w:r>
    </w:p>
    <w:p>
      <w:pPr>
        <w:pStyle w:val="Heading2"/>
      </w:pPr>
      <w:r>
        <w:t>CVSS Scoring</w:t>
      </w:r>
    </w:p>
    <w:p>
      <w:r>
        <w:t>CVSS v3.1 Score: 7.1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cpe:2.3:o:kde:kde:*:*:*:*:*:*:*:*</w:t>
      </w:r>
    </w:p>
    <w:p>
      <w:pPr>
        <w:pStyle w:val="ListBullet"/>
      </w:pPr>
      <w:r>
        <w:t>cpe:2.3:o:debian:debian_linux:3.0:*:*:*:*:*:*:*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