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CVE-2004-1901</w:t>
      </w:r>
    </w:p>
    <w:p>
      <w:r>
        <w:t>Portage before 2.0.50-r3 allows local users to overwrite arbitrary files via a hard link attack on the lockfiles.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0.17091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cpe:2.3:a:gentoo:portage:*:*:*:*:*:*:*:*</w:t>
      </w:r>
    </w:p>
    <w:p>
      <w:pPr>
        <w:pStyle w:val="ListBullet"/>
      </w:pPr>
      <w:r>
        <w:t>cpe:2.3:a:gentoo:portage:2.0.50:-:*:*:*:*:*:*</w:t>
      </w:r>
    </w:p>
    <w:p>
      <w:pPr>
        <w:pStyle w:val="ListBullet"/>
      </w:pPr>
      <w:r>
        <w:t>cpe:2.3:o:gentoo:linux:1.4:-:*:*:*:*:*:*</w:t>
      </w:r>
    </w:p>
    <w:p>
      <w:pPr>
        <w:pStyle w:val="ListBullet"/>
      </w:pPr>
      <w:r>
        <w:t>cpe:2.3:o:gentoo:linux:1.4:rc1:*:*:*:*:*:*</w:t>
      </w:r>
    </w:p>
    <w:p>
      <w:pPr>
        <w:pStyle w:val="ListBullet"/>
      </w:pPr>
      <w:r>
        <w:t>cpe:2.3:o:gentoo:linux:1.4:rc2:*:*:*:*:*:*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