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CVE-2007-0681</w:t>
      </w:r>
    </w:p>
    <w:p>
      <w:r>
        <w:t>profile.php in ExtCalendar 2 and earlier allows remote attackers to change the passwords of arbitrary users without providing the original password, and possibly perform other unauthorized actions, via modified values to register.php.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0.8889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CWE-522: Insufficiently Protected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CAPEC-474: Signature Spoofing by Key Theft</w:t>
      </w:r>
    </w:p>
    <w:p>
      <w:pPr>
        <w:pStyle w:val="ListBullet"/>
      </w:pPr>
      <w:r>
        <w:t>CAPEC-50: Password Recovery Exploitation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CAPEC-551: Modify Existing Service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CAPEC-644: Use of Captured Hashes (Pass The Hash)</w:t>
      </w:r>
    </w:p>
    <w:p>
      <w:pPr>
        <w:pStyle w:val="ListBullet"/>
      </w:pPr>
      <w:r>
        <w:t>CAPEC-645: Use of Captured Tickets (Pass The Ticket)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T1543: Create or Modify System Process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T1550.003: Pass the Ticket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T1550.002: Pass the Hash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Pass-The-Hash Toolkit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cpe:2.3:a:extcalendar_project:extcalendar:*:*:*:*:*:*:*:*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