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CVE-2009-2168</w:t>
      </w:r>
    </w:p>
    <w:p>
      <w:r>
        <w:t>cpanel/login.php in EgyPlus 7ammel (aka 7ml) 1.0.1 and earlier sends a redirect to the web browser but does not exit when the supplied credentials are incorrect, which allows remote attackers to bypass authentication by providing arbitrary username and password parameters.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0.77118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cpe:2.3:a:egyplus:7ammel:*:*:*:*:*:*:*:*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