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CVE-2015-0565</w:t>
      </w:r>
    </w:p>
    <w:p>
      <w:r>
        <w:t>NaCl in 2015 allowed the CLFLUSH instruction, making rowhammer attacks possible.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0.95927</w:t>
      </w:r>
    </w:p>
    <w:p>
      <w:pPr>
        <w:pStyle w:val="Heading2"/>
      </w:pPr>
      <w:r>
        <w:t>CVSS Scoring</w:t>
      </w:r>
    </w:p>
    <w:p>
      <w:r>
        <w:t>CVSS v3.1 Score: 10.0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CWE-119: Improper Restriction of Operations within the Bounds of a Memory Buffer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CAPEC-123: Buffer Manipulation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CAPEC-44: Overflow Binary Resource File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cpe:2.3:a:google:native_client:2015:*:*:*:*:*:*:*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