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CVE-2020-26277</w:t>
      </w:r>
    </w:p>
    <w:p>
      <w:r>
        <w:t>DBdeployer is a tool that deploys MySQL database servers easily. In DBdeployer before version 1.58.2, users unpacking a tarball may use a maliciously packaged tarball that contains symlinks to files external to the target. In such scenario, an attacker could induce dbdeployer to write into a system file, thus altering the computer defenses. For the attack to succeed, the following factors need to contribute: 1) The user is logged in as root. While dbdeployer is usable as root, it was designed to run as unprivileged user. 2) The user has taken a tarball from a non secure source, without testing the checksum. When the tarball is retrieved through dbdeployer, the checksum is compared before attempting to unpack. This has been fixed in version 1.58.2.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0.53209</w:t>
      </w:r>
    </w:p>
    <w:p>
      <w:pPr>
        <w:pStyle w:val="Heading2"/>
      </w:pPr>
      <w:r>
        <w:t>CVSS Scoring</w:t>
      </w:r>
    </w:p>
    <w:p>
      <w:r>
        <w:t>CVSS v3.1 Score: 6.1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cpe:2.3:a:dbdeployer:dbdeployer:*:*:*:*:*:*:*:*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