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CVE-2020-36049</w:t>
      </w:r>
    </w:p>
    <w:p>
      <w:r>
        <w:t>socket.io-parser before 3.4.1 allows attackers to cause a denial of service (memory consumption) via a large packet because a concatenation approach is used.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0.66182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cpe:2.3:a:socket:socket.io-parser:*:*:*:*:*:node.js:*:*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