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CVE-2020-4574</w:t>
      </w:r>
    </w:p>
    <w:p>
      <w:r>
        <w:t>IBM Tivoli Key Lifecycle Manager does not require that users should have strong passwords by default, which makes it easier for attackers to compromise user accounts. IBM X-Force ID: 184181.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0.36375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CWE-521: Weak Password Requirements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CAPEC-16: Dictionary-based Password Attack</w:t>
      </w:r>
    </w:p>
    <w:p>
      <w:pPr>
        <w:pStyle w:val="ListBullet"/>
      </w:pPr>
      <w:r>
        <w:t>CAPEC-49: Password Brute Forcing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CAPEC-55: Rainbow Table Password Cracking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CAPEC-565: Password Spraying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T1110.001: Password Guessing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T1110.002: Password Cracking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T1110.003: Password Spraying</w:t>
      </w:r>
    </w:p>
    <w:p>
      <w:pPr>
        <w:pStyle w:val="ListBullet"/>
      </w:pPr>
      <w:r>
        <w:t>T1110: Brute Force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cpe:2.3:a:ibm:security_key_lifecycle_manager:3.0.1:*:*:*:*:*:*:*</w:t>
      </w:r>
    </w:p>
    <w:p>
      <w:pPr>
        <w:pStyle w:val="ListBullet"/>
      </w:pPr>
      <w:r>
        <w:t>cpe:2.3:a:ibm:security_key_lifecycle_manager:4.0:*:*:*:*:*:*:*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