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CVE-2020-8632</w:t>
      </w:r>
    </w:p>
    <w:p>
      <w:r>
        <w:t>In cloud-init through 19.4, rand_user_password in cloudinit/config/cc_set_passwords.py has a small default pwlen value, which makes it easier for attackers to guess passwords.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0.11035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CWE-521: Weak Password Requirements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CAPEC-16: Dictionary-based Password Attack</w:t>
      </w:r>
    </w:p>
    <w:p>
      <w:pPr>
        <w:pStyle w:val="ListBullet"/>
      </w:pPr>
      <w:r>
        <w:t>CAPEC-49: Password Brute Forcing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CAPEC-55: Rainbow Table Password Cracking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CAPEC-565: Password Spraying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T1110.001: Password Guessing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T1110.002: Password Cracking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T1110.003: Password Spraying</w:t>
      </w:r>
    </w:p>
    <w:p>
      <w:pPr>
        <w:pStyle w:val="ListBullet"/>
      </w:pPr>
      <w:r>
        <w:t>T1110: Brute Force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cpe:2.3:a:canonical:cloud-init:*:*:*:*:*:*:*:*</w:t>
      </w:r>
    </w:p>
    <w:p>
      <w:pPr>
        <w:pStyle w:val="ListBullet"/>
      </w:pPr>
      <w:r>
        <w:t>cpe:2.3:o:opensuse:leap:15.1:*:*:*:*:*:*:*</w:t>
      </w:r>
    </w:p>
    <w:p>
      <w:pPr>
        <w:pStyle w:val="ListBullet"/>
      </w:pPr>
      <w:r>
        <w:t>cpe:2.3:o:debian:debian_linux:8.0:*:*:*:*:*:*:*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