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CVE-2022-30319</w:t>
      </w:r>
    </w:p>
    <w:p>
      <w:r>
        <w:t>Saia Burgess Controls (SBC) PCD through 2022-05-06 allows Authentication bypass. According to FSCT-2022-0062, there is a Saia Burgess Controls (SBC) PCD S-Bus authentication bypass issue. The affected components are characterized as: S-Bus (5050/UDP) authentication. The potential impact is: Authentication bypass. The Saia Burgess Controls (SBC) PCD controllers utilize the S-Bus protocol (5050/UDP) for a variety of engineering purposes. It is possible to configure a password in order to restrict access to sensitive engineering functionality. Authentication functions on the basis of a MAC/IP whitelist with inactivity timeout to which an authenticated client's MAC/IP is stored. UDP traffic can be spoofed to bypass the whitelist-based access control. Since UDP is stateless, an attacker capable of passively observing traffic can spoof arbitrary messages using the MAC/IP of an authenticated client. This allows the attacker access to sensitive engineering functionality such as uploading/downloading control logic and manipulating controller configuration.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0.0044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CWE-290: Authentication Bypass by Spoofing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CAPEC-21: Exploitation of Trusted Identifiers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CAPEC-461: Web Services API Signature Forgery Leveraging Hash Function Extension Weakness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CAPEC-476: Signature Spoofing by Misrepresentation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CAPEC-667: Bluetooth Impersonation AttackS (BIAS)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T1528: Steal Application Access Token</w:t>
      </w:r>
    </w:p>
    <w:p>
      <w:pPr>
        <w:pStyle w:val="ListBullet"/>
      </w:pPr>
      <w:r>
        <w:t>T1036.001: Invalid Code Signature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T1134: Access Token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cpe:2.3:a:honeywell:saia_pg5_controls_suite:-:*:*:*:*:*:*:*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