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CWE-1044</w:t>
      </w:r>
    </w:p>
    <w:p>
      <w:pPr>
        <w:pStyle w:val="Heading2"/>
      </w:pPr>
      <w:r>
        <w:t>Description</w:t>
      </w:r>
    </w:p>
    <w:p>
      <w:r>
        <w:t>The product's architecture contains too many - or too few -</w:t>
        <w:br/>
        <w:tab/>
        <w:tab/>
        <w:tab/>
        <w:tab/>
        <w:tab/>
        <w:t>horizontal layers.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 While the interpretation of "expected range" may vary for each product or developer, CISQ recommends a default minimum of 4 layers and maximum of 8 layers.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