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CWE-1060</w:t>
      </w:r>
    </w:p>
    <w:p>
      <w:pPr>
        <w:pStyle w:val="Heading2"/>
      </w:pPr>
      <w:r>
        <w:t>Description</w:t>
      </w:r>
    </w:p>
    <w:p>
      <w:r>
        <w:t>The product performs too many data queries without using efficient data processing functionality such as stored procedures.</w:t>
      </w:r>
    </w:p>
    <w:p>
      <w:pPr>
        <w:pStyle w:val="Heading2"/>
      </w:pPr>
      <w:r>
        <w:t>Extended Description</w:t>
      </w:r>
    </w:p>
    <w:p>
      <w:r>
        <w:t>This issue can make the product perform more slowly due to computational expense.  If the relevant code is reachable by an attacker, then this performance problem might introduce a vulnerability. While the interpretation of "too many data queries" may vary for each product or developer, CISQ recommends a default maximum of 5 data queries for an inefficient function/procedure.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