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CWE-1096</w:t>
      </w:r>
    </w:p>
    <w:p>
      <w:pPr>
        <w:pStyle w:val="Heading2"/>
      </w:pPr>
      <w:r>
        <w:t>Description</w:t>
      </w:r>
    </w:p>
    <w:p>
      <w:r>
        <w:t>The product implements a Singleton design pattern but does not use appropriate locking or other synchronization mechanism to ensure that the singleton class is only instantiated once.</w:t>
      </w:r>
    </w:p>
    <w:p>
      <w:pPr>
        <w:pStyle w:val="Heading2"/>
      </w:pPr>
      <w:r>
        <w:t>Extended Description</w:t>
      </w:r>
    </w:p>
    <w:p>
      <w:r>
        <w:t>This issue can prevent the product from running reliably, e.g. by making the instantiation process non-thread-safe and introducing deadlock (CWE-833) or livelock conditions.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