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CWE-115</w:t>
      </w:r>
    </w:p>
    <w:p>
      <w:pPr>
        <w:pStyle w:val="Heading2"/>
      </w:pPr>
      <w:r>
        <w:t>Description</w:t>
      </w:r>
    </w:p>
    <w:p>
      <w:r>
        <w:t>The product misinterprets an input, whether from an attacker or another product, in a security-relevant fashion.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CVE-2005-2225: Product sees dangerous file extension in free text of a group discussion, disconnects all users.</w:t>
      </w:r>
    </w:p>
    <w:p>
      <w:r>
        <w:rPr>
          <w:b/>
        </w:rPr>
        <w:t xml:space="preserve">• </w:t>
      </w:r>
      <w:r>
        <w:t>CVE-2001-0003: Product does not correctly import and process security settings from another product.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This concept needs further study. It is likely a factor in several weaknesses, possibly resultant as well. Overlaps Multiple Interpretation Errors (MIE).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