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CWE-1204</w:t>
      </w:r>
    </w:p>
    <w:p>
      <w:pPr>
        <w:pStyle w:val="Heading2"/>
      </w:pPr>
      <w:r>
        <w:t>Description</w:t>
      </w:r>
    </w:p>
    <w:p>
      <w:r>
        <w:t>The product uses a cryptographic primitive that uses an Initialization</w:t>
        <w:br/>
        <w:tab/>
        <w:tab/>
        <w:tab/>
        <w:t>Vector (IV), but the product does not generate IVs that are</w:t>
        <w:br/>
        <w:tab/>
        <w:tab/>
        <w:tab/>
        <w:t>sufficiently unpredictable or unique according to the expected</w:t>
        <w:br/>
        <w:tab/>
        <w:tab/>
        <w:tab/>
        <w:t>cryptographic requirements for that primitive.</w:t>
      </w:r>
    </w:p>
    <w:p>
      <w:pPr>
        <w:pStyle w:val="Heading2"/>
      </w:pPr>
      <w:r>
        <w:t>Extended Description</w:t>
      </w:r>
    </w:p>
    <w:p>
      <w:r>
        <w:t>By design, some cryptographic primitives</w:t>
        <w:br/>
        <w:tab/>
        <w:tab/>
        <w:tab/>
        <w:t xml:space="preserve">  (such as block ciphers) require that IVs</w:t>
        <w:br/>
        <w:tab/>
        <w:tab/>
        <w:tab/>
        <w:t xml:space="preserve">  must have certain properties for the</w:t>
        <w:br/>
        <w:tab/>
        <w:tab/>
        <w:tab/>
        <w:t xml:space="preserve">  uniqueness and/or unpredictability of an</w:t>
        <w:br/>
        <w:tab/>
        <w:tab/>
        <w:tab/>
        <w:t xml:space="preserve">  IV. Primitives may vary in how important</w:t>
        <w:br/>
        <w:tab/>
        <w:tab/>
        <w:tab/>
        <w:t xml:space="preserve">  these properties are. If these properties</w:t>
        <w:br/>
        <w:tab/>
        <w:tab/>
        <w:tab/>
        <w:t xml:space="preserve">  are not maintained, e.g. by a bug in the</w:t>
        <w:br/>
        <w:tab/>
        <w:tab/>
        <w:tab/>
        <w:t xml:space="preserve">  code, then the cryptography may be weakened</w:t>
        <w:br/>
        <w:tab/>
        <w:tab/>
        <w:tab/>
        <w:t xml:space="preserve">  or broken by attacking the IVs themselves.</w:t>
      </w:r>
    </w:p>
    <w:p>
      <w:pPr>
        <w:pStyle w:val="Heading2"/>
      </w:pPr>
      <w:r>
        <w:t>Threat-Mapped Scoring</w:t>
      </w:r>
    </w:p>
    <w:p>
      <w:r>
        <w:t>Score: 0.0</w:t>
      </w:r>
    </w:p>
    <w:p>
      <w:r>
        <w:t>Priority: Unclassified</w:t>
      </w:r>
    </w:p>
    <w:p>
      <w:pPr>
        <w:pStyle w:val="Heading2"/>
      </w:pPr>
      <w:r>
        <w:t>Observed Examples (CVEs)</w:t>
      </w:r>
    </w:p>
    <w:p>
      <w:r>
        <w:rPr>
          <w:b/>
        </w:rPr>
        <w:t xml:space="preserve">• </w:t>
      </w:r>
      <w:r>
        <w:t>CVE-2020-1472: ZeroLogon vulnerability - use of a static IV of all zeroes in AES-CFB8 mode</w:t>
      </w:r>
      <w:r>
        <w:t xml:space="preserve"> (KEV)</w:t>
      </w:r>
    </w:p>
    <w:p>
      <w:r>
        <w:rPr>
          <w:b/>
        </w:rPr>
        <w:t xml:space="preserve">• </w:t>
      </w:r>
      <w:r>
        <w:t>CVE-2011-3389: BEAST attack in SSL 3.0 / TLS 1.0. In CBC mode, chained initialization vectors are non-random, allowing decryption of HTTPS traffic using a chosen plaintext attack.</w:t>
      </w:r>
    </w:p>
    <w:p>
      <w:r>
        <w:rPr>
          <w:b/>
        </w:rPr>
        <w:t xml:space="preserve">• </w:t>
      </w:r>
      <w:r>
        <w:t>CVE-2001-0161: wireless router does not use 6 of the 24 bits for WEP encryption, making it easier for attackers to decrypt traffic</w:t>
      </w:r>
    </w:p>
    <w:p>
      <w:r>
        <w:rPr>
          <w:b/>
        </w:rPr>
        <w:t xml:space="preserve">• </w:t>
      </w:r>
      <w:r>
        <w:t>CVE-2001-0160: WEP card generates predictable IV values, making it easier for attackers to decrypt traffic</w:t>
      </w:r>
    </w:p>
    <w:p>
      <w:r>
        <w:rPr>
          <w:b/>
        </w:rPr>
        <w:t xml:space="preserve">• </w:t>
      </w:r>
      <w:r>
        <w:t>CVE-2017-3225: device bootloader uses a zero initialization vector during AES-CBC</w:t>
      </w:r>
    </w:p>
    <w:p>
      <w:r>
        <w:rPr>
          <w:b/>
        </w:rPr>
        <w:t xml:space="preserve">• </w:t>
      </w:r>
      <w:r>
        <w:t>CVE-2016-6485: crypto framework uses PHP rand function - which is not cryptographically secure - for an initialization vector</w:t>
      </w:r>
    </w:p>
    <w:p>
      <w:r>
        <w:rPr>
          <w:b/>
        </w:rPr>
        <w:t xml:space="preserve">• </w:t>
      </w:r>
      <w:r>
        <w:t>CVE-2014-5386: encryption routine does not seed the random number generator, causing the same initialization vector to be generated repeatedly</w:t>
      </w:r>
    </w:p>
    <w:p>
      <w:r>
        <w:rPr>
          <w:b/>
        </w:rPr>
        <w:t xml:space="preserve">• </w:t>
      </w:r>
      <w:r>
        <w:t>CVE-2020-5408: encryption functionality in an authentication framework uses a fixed null IV with CBC mode, allowing attackers to decrypt traffic in applications that use this functionality</w:t>
      </w:r>
    </w:p>
    <w:p>
      <w:r>
        <w:rPr>
          <w:b/>
        </w:rPr>
        <w:t xml:space="preserve">• </w:t>
      </w:r>
      <w:r>
        <w:t>CVE-2017-17704: messages for a door-unlocking product use a fixed IV in CBC mode, which is the same after each restart</w:t>
      </w:r>
    </w:p>
    <w:p>
      <w:r>
        <w:rPr>
          <w:b/>
        </w:rPr>
        <w:t xml:space="preserve">• </w:t>
      </w:r>
      <w:r>
        <w:t>CVE-2017-11133: application uses AES in CBC mode, but the pseudo-random secret and IV are generated using math.random, which is not cryptographically strong.</w:t>
      </w:r>
    </w:p>
    <w:p>
      <w:r>
        <w:rPr>
          <w:b/>
        </w:rPr>
        <w:t xml:space="preserve">• </w:t>
      </w:r>
      <w:r>
        <w:t>CVE-2007-3528: Blowfish-CBC implementation constructs an IV where each byte is calculated modulo 8 instead of modulo 256, resulting in less than 12 bits for the effective IV length, and less than 4096 possible IV values.</w:t>
      </w:r>
    </w:p>
    <w:p>
      <w:pPr>
        <w:pStyle w:val="Heading2"/>
      </w:pPr>
      <w:r>
        <w:t>Related Attack Patterns (CAPEC)</w:t>
      </w:r>
    </w:p>
    <w:p>
      <w:pPr>
        <w:pStyle w:val="ListBullet"/>
      </w:pPr>
      <w:r>
        <w:t>CAPEC-20</w:t>
      </w:r>
    </w:p>
    <w:p>
      <w:pPr>
        <w:pStyle w:val="ListBullet"/>
      </w:pPr>
      <w:r>
        <w:t>CAPEC-97</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Application Data — Notes: If the IV is not properly initialized, data that is encrypted can be compromised and information about the data can be leaked. See [REF-1179].</w:t>
      </w:r>
    </w:p>
    <w:p>
      <w:pPr>
        <w:pStyle w:val="Heading2"/>
      </w:pPr>
      <w:r>
        <w:t>Potential Mitigations</w:t>
      </w:r>
    </w:p>
    <w:p>
      <w:r>
        <w:rPr>
          <w:b/>
        </w:rPr>
        <w:t xml:space="preserve">• </w:t>
      </w:r>
      <w:r>
        <w:t>Implementation: Different cipher</w:t>
        <w:br/>
        <w:tab/>
        <w:tab/>
        <w:tab/>
        <w:t xml:space="preserve">    modes have different requirements for</w:t>
        <w:br/>
        <w:tab/>
        <w:tab/>
        <w:tab/>
        <w:t xml:space="preserve">    their IVs. When choosing and implementing</w:t>
        <w:br/>
        <w:tab/>
        <w:tab/>
        <w:tab/>
        <w:t xml:space="preserve">    a mode, it is important to understand</w:t>
        <w:br/>
        <w:tab/>
        <w:tab/>
        <w:tab/>
        <w:t xml:space="preserve">    those requirements in order to keep</w:t>
        <w:br/>
        <w:tab/>
        <w:tab/>
        <w:tab/>
        <w:t xml:space="preserve">    security guarantees intact. Generally, it</w:t>
        <w:br/>
        <w:tab/>
        <w:tab/>
        <w:tab/>
        <w:t xml:space="preserve">    is safest to generate a random IV, since</w:t>
        <w:br/>
        <w:tab/>
        <w:tab/>
        <w:tab/>
        <w:t xml:space="preserve">    it will be both unpredictable and have a</w:t>
        <w:br/>
        <w:tab/>
        <w:tab/>
        <w:tab/>
        <w:t xml:space="preserve">    very low chance of being non-unique. IVs</w:t>
        <w:br/>
        <w:tab/>
        <w:tab/>
        <w:tab/>
        <w:t xml:space="preserve">    do not have to be kept secret, so if</w:t>
        <w:br/>
        <w:tab/>
        <w:tab/>
        <w:tab/>
        <w:t xml:space="preserve">    generating duplicate IVs is a concern, a</w:t>
        <w:br/>
        <w:tab/>
        <w:tab/>
        <w:tab/>
        <w:t xml:space="preserve">    list of already-used IVs can be kept and</w:t>
        <w:br/>
        <w:tab/>
        <w:tab/>
        <w:tab/>
        <w:t xml:space="preserve">    checked against. NIST offers recommendations on generation of IVs for modes of which they have approved. These include options for when random IVs are not practical. For CBC, CFB, and OFB, see [REF-1175]; for GCM, see [REF-1178].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In both of these examples, the initialization vector (IV) is always a block of zeros. This makes the resulting cipher text much more predictable and susceptible to a dictionary attack.</w:t>
      </w:r>
    </w:p>
    <w:p>
      <w:r>
        <w:rPr>
          <w:b/>
        </w:rPr>
        <w:t xml:space="preserve">• </w:t>
      </w:r>
      <w:r>
        <w:t>N/A</w:t>
      </w:r>
    </w:p>
    <w:p>
      <w:pPr>
        <w:pStyle w:val="Heading2"/>
      </w:pPr>
      <w:r>
        <w:t>Notes</w:t>
      </w:r>
    </w:p>
    <w:p>
      <w:r>
        <w:rPr>
          <w:b/>
        </w:rPr>
        <w:t xml:space="preserve">• </w:t>
      </w:r>
      <w:r>
        <w:t>Maintenance: As of CWE 4.5, terminology related to randomness, entropy, and</w:t>
        <w:br/>
        <w:tab/>
        <w:tab/>
        <w:tab/>
        <w:t xml:space="preserve">  predictability can vary widely. Within the developer and other</w:t>
        <w:br/>
        <w:tab/>
        <w:tab/>
        <w:tab/>
        <w:t xml:space="preserve">  communities, "randomness" is used heavily. However, within</w:t>
        <w:br/>
        <w:tab/>
        <w:tab/>
        <w:tab/>
        <w:t xml:space="preserve">  cryptography, "entropy" is distinct, typically implied as a</w:t>
        <w:br/>
        <w:tab/>
        <w:tab/>
        <w:tab/>
        <w:t xml:space="preserve">  measurement. There are no commonly-used definitions, even within</w:t>
        <w:br/>
        <w:tab/>
        <w:tab/>
        <w:tab/>
        <w:t xml:space="preserve">  standards documents and cryptography papers. Future versions of</w:t>
        <w:br/>
        <w:tab/>
        <w:tab/>
        <w:tab/>
        <w:t xml:space="preserve">  CWE will attempt to define these terms and, if necessary,</w:t>
        <w:br/>
        <w:tab/>
        <w:tab/>
        <w:tab/>
        <w:t xml:space="preserve">  distinguish between them in ways that are appropriate for</w:t>
        <w:br/>
        <w:tab/>
        <w:tab/>
        <w:tab/>
        <w:t xml:space="preserve">  different communities but do not reduce the usability of CWE for</w:t>
        <w:br/>
        <w:tab/>
        <w:tab/>
        <w:tab/>
        <w:t xml:space="preserve">  mapping, understanding, or other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