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CWE-1256</w:t>
      </w:r>
    </w:p>
    <w:p>
      <w:pPr>
        <w:pStyle w:val="Heading2"/>
      </w:pPr>
      <w:r>
        <w:t>Description</w:t>
      </w:r>
    </w:p>
    <w:p>
      <w:r>
        <w:t>The product provides software-controllable</w:t>
        <w:br/>
        <w:tab/>
        <w:tab/>
        <w:tab/>
        <w:t>device functionality for capabilities such as power and</w:t>
        <w:br/>
        <w:tab/>
        <w:tab/>
        <w:tab/>
        <w:t>clock management, but it does not properly limit</w:t>
        <w:br/>
        <w:tab/>
        <w:tab/>
        <w:tab/>
        <w:t>functionality that can lead to modification of</w:t>
        <w:br/>
        <w:tab/>
        <w:tab/>
        <w:tab/>
        <w:t>hardware memory or register bits, or the ability to</w:t>
        <w:br/>
        <w:tab/>
        <w:tab/>
        <w:tab/>
        <w:t>observe physical side channels.</w:t>
      </w:r>
    </w:p>
    <w:p>
      <w:pPr>
        <w:pStyle w:val="Heading2"/>
      </w:pPr>
      <w:r>
        <w:t>Extended Description</w:t>
      </w:r>
    </w:p>
    <w:p>
      <w:r>
        <w:t>It is frequently assumed that physical attacks</w:t>
        <w:br/>
        <w:t xml:space="preserve">              such as fault injection and side-channel analysis</w:t>
        <w:br/>
        <w:t xml:space="preserve">              require an attacker to have physical access to the</w:t>
        <w:br/>
        <w:t xml:space="preserve">              target device.  This assumption may be false if the</w:t>
        <w:br/>
        <w:t xml:space="preserve">              device has improperly secured power management features,</w:t>
        <w:br/>
        <w:t xml:space="preserve">              or similar features.  For mobile devices, minimizing</w:t>
        <w:br/>
        <w:t xml:space="preserve">              power consumption is critical, but these devices run a</w:t>
        <w:br/>
        <w:t xml:space="preserve">              wide variety of applications with different performance</w:t>
        <w:br/>
        <w:t xml:space="preserve">              requirements. Software-controllable mechanisms to</w:t>
        <w:br/>
        <w:t xml:space="preserve">              dynamically scale device voltage and frequency and</w:t>
        <w:br/>
        <w:t xml:space="preserve">              monitor power consumption are common features in today's</w:t>
        <w:br/>
        <w:t xml:space="preserve">              chipsets, but they also enable attackers to mount fault</w:t>
        <w:br/>
        <w:t xml:space="preserve">              injection and side-channel attacks without having</w:t>
        <w:br/>
        <w:t xml:space="preserve">              physical access to the device. Fault injection attacks involve strategic</w:t>
        <w:br/>
        <w:t xml:space="preserve">              manipulation of bits in a device to achieve a desired</w:t>
        <w:br/>
        <w:t xml:space="preserve">              effect such as skipping an authentication step,</w:t>
        <w:br/>
        <w:t xml:space="preserve">              elevating privileges, or altering the output of a</w:t>
        <w:br/>
        <w:t xml:space="preserve">              cryptographic operation.  Manipulation of the device</w:t>
        <w:br/>
        <w:t xml:space="preserve">              clock and voltage supply is a well-known technique to</w:t>
        <w:br/>
        <w:t xml:space="preserve">              inject faults and is cheap to implement with physical</w:t>
        <w:br/>
        <w:t xml:space="preserve">              device access.  Poorly protected power management</w:t>
        <w:br/>
        <w:t xml:space="preserve">              features allow these attacks to be performed from</w:t>
        <w:br/>
        <w:t xml:space="preserve">              software.  Other features, such as the ability to write</w:t>
        <w:br/>
        <w:t xml:space="preserve">              repeatedly to DRAM at a rapid rate from unprivileged</w:t>
        <w:br/>
        <w:t xml:space="preserve">              software, can result in bit flips in other memory</w:t>
        <w:br/>
        <w:t xml:space="preserve">              locations (Rowhammer, [REF-1083]). Side channel analysis requires gathering</w:t>
        <w:br/>
        <w:tab/>
        <w:tab/>
        <w:tab/>
        <w:t xml:space="preserve">  measurement traces of physical quantities such as power</w:t>
        <w:br/>
        <w:tab/>
        <w:tab/>
        <w:tab/>
        <w:t xml:space="preserve">  consumption.  Modern processors often include power</w:t>
        <w:br/>
        <w:tab/>
        <w:tab/>
        <w:tab/>
        <w:t xml:space="preserve">  metering capabilities in the hardware itself (e.g.,</w:t>
        <w:br/>
        <w:tab/>
        <w:tab/>
        <w:tab/>
        <w:t xml:space="preserve">  Intel RAPL) which if not adequately protected enable</w:t>
        <w:br/>
        <w:tab/>
        <w:tab/>
        <w:tab/>
        <w:t xml:space="preserve">  attackers to gather measurements necessary for</w:t>
        <w:br/>
        <w:tab/>
        <w:tab/>
        <w:tab/>
        <w:t xml:space="preserve">  performing side-channel attacks from software.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CVE-2019-11157: Plundervolt: Improper conditions check in voltage settings for some Intel(R) Processors may allow a privileged user to potentially enable escalation of privilege and/or information disclosure via local access [REF-1081].</w:t>
      </w:r>
    </w:p>
    <w:p>
      <w:r>
        <w:rPr>
          <w:b/>
        </w:rPr>
        <w:t xml:space="preserve">• </w:t>
      </w:r>
      <w:r>
        <w:t>CVE-2020-8694: PLATYPUS Attack: Insufficient access control in the Linux kernel driver for some Intel processors allows information disclosure.</w:t>
      </w:r>
    </w:p>
    <w:p>
      <w:r>
        <w:rPr>
          <w:b/>
        </w:rPr>
        <w:t xml:space="preserve">• </w:t>
      </w:r>
      <w:r>
        <w:t>CVE-2020-8695: Observable discrepancy in the RAPL interface for some Intel processors allows information disclosure.</w:t>
      </w:r>
    </w:p>
    <w:p>
      <w:r>
        <w:rPr>
          <w:b/>
        </w:rPr>
        <w:t xml:space="preserve">• </w:t>
      </w:r>
      <w:r>
        <w:t>CVE-2020-12912: AMD extension to a Linux service does not require privileged access to the RAPL interface, allowing side-channel attacks.</w:t>
      </w:r>
    </w:p>
    <w:p>
      <w:r>
        <w:rPr>
          <w:b/>
        </w:rPr>
        <w:t xml:space="preserve">• </w:t>
      </w:r>
      <w:r>
        <w:t>CVE-2015-0565: NaCl in 2015 allowed the CLFLUSH instruction, making Rowhammer attacks possible.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CAPEC-624</w:t>
      </w:r>
    </w:p>
    <w:p>
      <w:pPr>
        <w:pStyle w:val="ListBullet"/>
      </w:pPr>
      <w:r>
        <w:t>CAPEC-625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An architect may initiate introduction of</w:t>
        <w:br/>
        <w:tab/>
        <w:tab/>
        <w:tab/>
        <w:tab/>
        <w:tab/>
        <w:t>this weakness via exacting requirements for</w:t>
        <w:br/>
        <w:tab/>
        <w:tab/>
        <w:tab/>
        <w:tab/>
        <w:tab/>
        <w:t>software accessible power/clock management</w:t>
        <w:br/>
        <w:tab/>
        <w:tab/>
        <w:tab/>
        <w:tab/>
        <w:tab/>
        <w:t>requirements</w:t>
      </w:r>
    </w:p>
    <w:p>
      <w:r>
        <w:rPr>
          <w:b/>
        </w:rPr>
        <w:t xml:space="preserve">• </w:t>
      </w:r>
      <w:r>
        <w:t>Implementation: An implementer may introduce this weakness</w:t>
        <w:br/>
        <w:tab/>
        <w:tab/>
        <w:tab/>
        <w:tab/>
        <w:tab/>
        <w:t>by assuming there are no consequences to unbounded</w:t>
        <w:br/>
        <w:tab/>
        <w:tab/>
        <w:tab/>
        <w:tab/>
        <w:tab/>
        <w:t>power and clock management for secure components</w:t>
        <w:br/>
        <w:tab/>
        <w:tab/>
        <w:tab/>
        <w:tab/>
        <w:tab/>
        <w:t>from untrusted ones.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Modify Memory, Modify Application Data, Bypass Protection Mechanism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Ensure proper access control mechanisms protect software-controllable features altering physical operating conditions such as clock frequency and voltage.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Preventing the loop required to defeat the Rowhammer exploit is not always possible:</w:t>
      </w:r>
    </w:p>
    <w:p>
      <w:r>
        <w:rPr>
          <w:b/>
        </w:rPr>
        <w:t xml:space="preserve">• </w:t>
      </w:r>
      <w:r>
        <w:t>N/A</w:t>
      </w:r>
    </w:p>
    <w:p>
      <w:r>
        <w:rPr>
          <w:b/>
        </w:rPr>
        <w:t xml:space="preserve">• </w:t>
      </w:r>
      <w:r>
        <w:t>We assume that untrusted software running on any of the</w:t>
        <w:br/>
        <w:tab/>
        <w:t xml:space="preserve">      Core{0-N} processors has access to the input and output</w:t>
        <w:br/>
        <w:tab/>
        <w:t xml:space="preserve">      ports of the hrot_iface. If untrusted software can clear</w:t>
        <w:br/>
        <w:tab/>
        <w:t xml:space="preserve">      the lock_bit or write the clock frequency and voltage</w:t>
        <w:br/>
        <w:tab/>
        <w:t xml:space="preserve">      registers due to inadequate protection, a fault</w:t>
        <w:br/>
        <w:tab/>
        <w:t xml:space="preserve">      injection attack could be performed.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