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CWE-1267</w:t>
      </w:r>
    </w:p>
    <w:p>
      <w:pPr>
        <w:pStyle w:val="Heading2"/>
      </w:pPr>
      <w:r>
        <w:t>Description</w:t>
      </w:r>
    </w:p>
    <w:p>
      <w:r>
        <w:t>The product uses an obsolete encoding mechanism to implement access controls.</w:t>
      </w:r>
    </w:p>
    <w:p>
      <w:pPr>
        <w:pStyle w:val="Heading2"/>
      </w:pPr>
      <w:r>
        <w:t>Extended Description</w:t>
      </w:r>
    </w:p>
    <w:p>
      <w:r>
        <w:t>Within a System-On-a-Chip (SoC), various circuits and hardware engines generate transactions for the purpose of accessing (read/write) assets or performing various actions (e.g., reset, fetch, compute, etc.). Among various types of message information, a typical transaction is comprised of source identity (identifying the originator of the transaction) and a destination identity (routing the transaction to the respective entity). Sometimes the transactions are qualified with a Security Token. This Security Token helps the destination agent decide on the set of allowed actions (e.g., access to an asset for reads and writes). A policy encoder is used to map the bus transactions to Security Tokens that in turn are used as access-controls/protection mechanisms. A common weakness involves using an encoding which is no longer trusted, i.e., an obsolete encoding.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Related Attack Patterns (CAPEC)</w:t>
      </w:r>
    </w:p>
    <w:p>
      <w:pPr>
        <w:pStyle w:val="ListBullet"/>
      </w:pPr>
      <w:r>
        <w:t>CAPEC-121</w:t>
      </w:r>
    </w:p>
    <w:p>
      <w:pPr>
        <w:pStyle w:val="ListBullet"/>
      </w:pPr>
      <w:r>
        <w:t>CAPEC-681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Architecture and Design: N/A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Modify Memory, Read Memory, Modify Files or Directories, Read Files or Directories, DoS: Resource Consumption (Other), Execute Unauthorized Code or Commands, Gain Privileges or Assume Identity, Bypass Protection Mechanism, Reduce Reliability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Architecture and Design: Security Token Decoders should be reviewed for design inconsistency and common weaknesses. Access and programming flows should be tested in both pre-silicon and post-silicon testing. (Effectiveness: High)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The inherited policy encoding is obsolete and does not work for the new system where an untrusted bus master with an odd Security Token exists in the system, i.e., Master_3 whose Security Token is "11". Based on the old policy, the untrusted bus master (Master_3) has access to the AES-Key registers. To resolve this, a register AES_KEY_ACCESS_POLICY can be defined to provide necessary, access controls: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