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CWE-1286</w:t>
      </w:r>
    </w:p>
    <w:p>
      <w:pPr>
        <w:pStyle w:val="Heading2"/>
      </w:pPr>
      <w:r>
        <w:t>Description</w:t>
      </w:r>
    </w:p>
    <w:p>
      <w:r>
        <w:t>The product receives input that is expected to be well-formed - i.e., to comply with a certain syntax - but it does not validate or incorrectly validates that the input complies with the syntax.</w:t>
      </w:r>
    </w:p>
    <w:p>
      <w:pPr>
        <w:pStyle w:val="Heading2"/>
      </w:pPr>
      <w:r>
        <w:t>Extended Description</w:t>
      </w:r>
    </w:p>
    <w:p>
      <w:r>
        <w:t>Often, complex inputs are expected to follow a particular syntax, which is either assumed by the input itself, or declared within metadata such as headers. The syntax could be for data exchange formats, markup languages, or even programming languages.  When untrusted input is not properly validated for the expected syntax, attackers could cause parsing failures, trigger unexpected errors, or expose latent vulnerabilities that might not be directly exploitable if the input had conformed to the syntax.</w:t>
      </w:r>
    </w:p>
    <w:p>
      <w:pPr>
        <w:pStyle w:val="Heading2"/>
      </w:pPr>
      <w:r>
        <w:t>Threat-Mapped Scoring</w:t>
      </w:r>
    </w:p>
    <w:p>
      <w:r>
        <w:t>Score: 0.0</w:t>
      </w:r>
    </w:p>
    <w:p>
      <w:r>
        <w:t>Priority: Unclassified</w:t>
      </w:r>
    </w:p>
    <w:p>
      <w:pPr>
        <w:pStyle w:val="Heading2"/>
      </w:pPr>
      <w:r>
        <w:t>Observed Examples (CVEs)</w:t>
      </w:r>
    </w:p>
    <w:p>
      <w:r>
        <w:rPr>
          <w:b/>
        </w:rPr>
        <w:t xml:space="preserve">• </w:t>
      </w:r>
      <w:r>
        <w:t>CVE-2016-4029: Chain: incorrect validation of intended decimal-based IP address format (CWE-1286) enables parsing of octal or hexadecimal formats (CWE-1389), allowing bypass of an SSRF protection mechanism (CWE-918).</w:t>
      </w:r>
    </w:p>
    <w:p>
      <w:r>
        <w:rPr>
          <w:b/>
        </w:rPr>
        <w:t xml:space="preserve">• </w:t>
      </w:r>
      <w:r>
        <w:t>CVE-2007-5893: HTTP request with missing protocol version number leads to crash</w:t>
      </w:r>
    </w:p>
    <w:p>
      <w:pPr>
        <w:pStyle w:val="Heading2"/>
      </w:pPr>
      <w:r>
        <w:t>Related Attack Patterns (CAPEC)</w:t>
      </w:r>
    </w:p>
    <w:p>
      <w:pPr>
        <w:pStyle w:val="ListBullet"/>
      </w:pPr>
      <w:r>
        <w:t>CAPEC-66</w:t>
      </w:r>
    </w:p>
    <w:p>
      <w:pPr>
        <w:pStyle w:val="ListBullet"/>
      </w:pPr>
      <w:r>
        <w:t>CAPEC-676</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Demonstrative Examples</w:t>
      </w:r>
    </w:p>
    <w:p>
      <w:r>
        <w:rPr>
          <w:b/>
        </w:rPr>
        <w:t xml:space="preserve">• </w:t>
      </w:r>
      <w:r>
        <w:t>The XML file is loaded without validating it against a known XML Schema or DTD.</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