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CWE-149</w:t>
      </w:r>
    </w:p>
    <w:p>
      <w:pPr>
        <w:pStyle w:val="Heading2"/>
      </w:pPr>
      <w:r>
        <w:t>Description</w:t>
      </w:r>
    </w:p>
    <w:p>
      <w:r>
        <w:t>Quotes injected into a product can be used to compromise a system. As data are parsed, an injected/absent/duplicate/malformed use of quotes may cause the process to take unexpected actions.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CVE-2004-0956: Database allows remote attackers to cause a denial of service (application crash) via a MATCH AGAINST query with an opening double quote but no closing double quote.</w:t>
      </w:r>
    </w:p>
    <w:p>
      <w:r>
        <w:rPr>
          <w:b/>
        </w:rPr>
        <w:t xml:space="preserve">• </w:t>
      </w:r>
      <w:r>
        <w:t>CVE-2003-1016: MIE. MFV too? bypass AV/security with fields that should not be quoted, duplicate quotes, missing leading/trailing quotes.</w:t>
      </w:r>
    </w:p>
    <w:p>
      <w:pPr>
        <w:pStyle w:val="Heading2"/>
      </w:pPr>
      <w:r>
        <w:t>Related Attack Patterns (CAPEC)</w:t>
      </w:r>
    </w:p>
    <w:p>
      <w:pPr>
        <w:pStyle w:val="ListBullet"/>
      </w:pPr>
      <w:r>
        <w:t>CAPEC-468</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quotes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