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CWE-167</w:t>
      </w:r>
    </w:p>
    <w:p>
      <w:pPr>
        <w:pStyle w:val="Heading2"/>
      </w:pPr>
      <w:r>
        <w:t>Description</w:t>
      </w:r>
    </w:p>
    <w:p>
      <w:r>
        <w:t>The product receives input from an upstream component, but it does not handle or incorrectly handles when an additional unexpected special element is provided.</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CVE-2000-0116: Extra "&lt;" in front of SCRIPT tag bypasses XSS prevention.</w:t>
      </w:r>
    </w:p>
    <w:p>
      <w:r>
        <w:rPr>
          <w:b/>
        </w:rPr>
        <w:t xml:space="preserve">• </w:t>
      </w:r>
      <w:r>
        <w:t>CVE-2001-1157: Extra "&lt;" in front of SCRIPT tag.</w:t>
      </w:r>
    </w:p>
    <w:p>
      <w:r>
        <w:rPr>
          <w:b/>
        </w:rPr>
        <w:t xml:space="preserve">• </w:t>
      </w:r>
      <w:r>
        <w:t>CVE-2002-2086: "&lt;script" - probably a cleansing error</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extra special elements will be injected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