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CWE-176</w:t>
      </w:r>
    </w:p>
    <w:p>
      <w:pPr>
        <w:pStyle w:val="Heading2"/>
      </w:pPr>
      <w:r>
        <w:t>Description</w:t>
      </w:r>
    </w:p>
    <w:p>
      <w:r>
        <w:t>The product does not properly handle when an input contains Unicode encoding.</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CVE-2000-0884: Server allows remote attackers to read documents outside of the web root, and possibly execute arbitrary commands, via malformed URLs that contain Unicode encoded characters.</w:t>
      </w:r>
    </w:p>
    <w:p>
      <w:r>
        <w:rPr>
          <w:b/>
        </w:rPr>
        <w:t xml:space="preserve">• </w:t>
      </w:r>
      <w:r>
        <w:t>CVE-2001-0709: Server allows a remote attacker to obtain source code of ASP files via a URL encoded with Unicode.</w:t>
      </w:r>
    </w:p>
    <w:p>
      <w:r>
        <w:rPr>
          <w:b/>
        </w:rPr>
        <w:t xml:space="preserve">• </w:t>
      </w:r>
      <w:r>
        <w:t>CVE-2001-0669: Overlaps interaction error.</w:t>
      </w:r>
    </w:p>
    <w:p>
      <w:pPr>
        <w:pStyle w:val="Heading2"/>
      </w:pPr>
      <w:r>
        <w:t>Related Attack Patterns (CAPEC)</w:t>
      </w:r>
    </w:p>
    <w:p>
      <w:pPr>
        <w:pStyle w:val="ListBullet"/>
      </w:pPr>
      <w:r>
        <w:t>CAPEC-71</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Architecture and Design: Avoid making decisions based on names of resources (e.g. files) if those resources can have alternate names.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In a multibyte character string, each character occupies a varying number of bytes, and therefore the size of such strings is most easily specified as a total number of bytes. In Unicode, however, characters are always a fixed size, and string lengths are typically given by the number of characters they contain. Mistakenly specifying the wrong units in a size argument can lead to a buffer overflow.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