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CWE-224</w:t>
      </w:r>
    </w:p>
    <w:p>
      <w:pPr>
        <w:pStyle w:val="Heading2"/>
      </w:pPr>
      <w:r>
        <w:t>Description</w:t>
      </w:r>
    </w:p>
    <w:p>
      <w:r>
        <w:t>The product records security-relevant information according to an alternate name of the affected entity, instead of the canonical name.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CVE-2002-0725: Attacker performs malicious actions on a hard link to a file, obscuring the real target file.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Hide Activities, Gain Privileges or Assume Identity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While the code logs a bad access attempt, it logs the user supplied name for the file, not the canonicalized file name. An attacker can obscure their target by giving the script the name of a link to the file they are attempting to access. Also note this code contains a race condition between the is_link() and readlink() functions (CWE-363).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