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CWE-235</w:t>
      </w:r>
    </w:p>
    <w:p>
      <w:pPr>
        <w:pStyle w:val="Heading2"/>
      </w:pPr>
      <w:r>
        <w:t>Description</w:t>
      </w:r>
    </w:p>
    <w:p>
      <w:r>
        <w:t>The product does not handle or incorrectly handles when the number of parameters, fields, or arguments with the same name exceeds the expected amount.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CVE-2003-1014: MIE. multiple gateway/security products allow restriction bypass using multiple MIME fields with the same name, which are interpreted differently by clients.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CAPEC-460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This typically occurs in situations when only one element is expected to be specified.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type of problem has a big role in multiple interpretation vulnerabilities and various HTTP attacks.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