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CWE-266</w:t>
      </w:r>
    </w:p>
    <w:p>
      <w:pPr>
        <w:pStyle w:val="Heading2"/>
      </w:pPr>
      <w:r>
        <w:t>Description</w:t>
      </w:r>
    </w:p>
    <w:p>
      <w:r>
        <w:t>A product incorrectly assigns a privilege to a particular actor, creating an unintended sphere of control for that actor.</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CVE-1999-1193: untrusted user placed in unix "wheel" group</w:t>
      </w:r>
    </w:p>
    <w:p>
      <w:r>
        <w:rPr>
          <w:b/>
        </w:rPr>
        <w:t xml:space="preserve">• </w:t>
      </w:r>
      <w:r>
        <w:t>CVE-2005-2741: Product allows users to grant themselves certain rights that can be used to escalate privileges.</w:t>
      </w:r>
    </w:p>
    <w:p>
      <w:r>
        <w:rPr>
          <w:b/>
        </w:rPr>
        <w:t xml:space="preserve">• </w:t>
      </w:r>
      <w:r>
        <w:t>CVE-2005-2496: Product uses group ID of a user instead of the group, causing it to run with different privileges. This is resultant from some other unknown issue.</w:t>
      </w:r>
    </w:p>
    <w:p>
      <w:r>
        <w:rPr>
          <w:b/>
        </w:rPr>
        <w:t xml:space="preserve">• </w:t>
      </w:r>
      <w:r>
        <w:t>CVE-2004-0274: Product mistakenly assigns a particular status to an entity, leading to increased privileges.</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Gain Privileges or Assume Identity — Notes: A user can access restricted functionality and/or sensitive information that may include administrative functionality and user accounts.</w:t>
      </w:r>
    </w:p>
    <w:p>
      <w:pPr>
        <w:pStyle w:val="Heading2"/>
      </w:pPr>
      <w:r>
        <w:t>Potential Mitigations</w:t>
      </w:r>
    </w:p>
    <w:p>
      <w:r>
        <w:rPr>
          <w:b/>
        </w:rPr>
        <w:t xml:space="preserve">• </w:t>
      </w:r>
      <w:r>
        <w:t>Architecture and Design: Very carefully manage the setting, management, and handling of privileges. Explicitly manage trust zones in the software. (Effectiveness: N/A)</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N/A</w:t>
      </w:r>
    </w:p>
    <w:p>
      <w:r>
        <w:rPr>
          <w:b/>
        </w:rPr>
        <w:t xml:space="preserve">• </w:t>
      </w:r>
      <w:r>
        <w:t>Any malicious application can register to receive this intent. Because of the FLAG_GRANT_READ_URI_PERMISSION included with the intent, the malicious receiver code can read the user's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