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CWE Detail – CWE-318</w:t>
      </w:r>
    </w:p>
    <w:p>
      <w:pPr>
        <w:pStyle w:val="Heading2"/>
      </w:pPr>
      <w:r>
        <w:t>Description</w:t>
      </w:r>
    </w:p>
    <w:p>
      <w:r>
        <w:t>The product stores sensitive information in cleartext in an executable.</w:t>
      </w:r>
    </w:p>
    <w:p>
      <w:pPr>
        <w:pStyle w:val="Heading2"/>
      </w:pPr>
      <w:r>
        <w:t>Extended Description</w:t>
      </w:r>
    </w:p>
    <w:p>
      <w:r>
        <w:t>Attackers can reverse engineer binary code to obtain secret data. This is especially easy when the cleartext is plain ASCII. Even if the information is encoded in a way that is not human-readable, certain techniques could determine which encoding is being used, then decode the information.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Observed Examples (CVEs)</w:t>
      </w:r>
    </w:p>
    <w:p>
      <w:r>
        <w:rPr>
          <w:b/>
        </w:rPr>
        <w:t xml:space="preserve">• </w:t>
      </w:r>
      <w:r>
        <w:t>CVE-2005-1794: Product stores RSA private key in a DLL and uses it to sign a certificate, allowing spoofing of servers and Adversary-in-the-Middle (AITM) attacks.</w:t>
      </w:r>
    </w:p>
    <w:p>
      <w:r>
        <w:rPr>
          <w:b/>
        </w:rPr>
        <w:t xml:space="preserve">• </w:t>
      </w:r>
      <w:r>
        <w:t>CVE-2001-1527: administration passwords in cleartext in executable</w:t>
      </w:r>
    </w:p>
    <w:p>
      <w:pPr>
        <w:pStyle w:val="Heading2"/>
      </w:pPr>
      <w:r>
        <w:t>Related Attack Patterns (CAPEC)</w:t>
      </w:r>
    </w:p>
    <w:p>
      <w:pPr>
        <w:pStyle w:val="ListBullet"/>
      </w:pPr>
      <w:r>
        <w:t>CAPEC-37</w:t>
      </w:r>
    </w:p>
    <w:p>
      <w:pPr>
        <w:pStyle w:val="ListBullet"/>
      </w:pPr>
      <w:r>
        <w:t>CAPEC-65</w:t>
      </w:r>
    </w:p>
    <w:p>
      <w:pPr>
        <w:pStyle w:val="Heading2"/>
      </w:pPr>
      <w:r>
        <w:t>Attack TTPs</w:t>
      </w:r>
    </w:p>
    <w:p>
      <w:r>
        <w:rPr>
          <w:b/>
        </w:rPr>
        <w:t xml:space="preserve">• </w:t>
      </w:r>
      <w:r>
        <w:t>T1040: Network Sniffing</w:t>
      </w:r>
      <w:r>
        <w:t xml:space="preserve"> (Tactics: credential-access, discovery)</w:t>
      </w:r>
    </w:p>
    <w:p>
      <w:r>
        <w:rPr>
          <w:b/>
        </w:rPr>
        <w:t xml:space="preserve">• </w:t>
      </w:r>
      <w:r>
        <w:t>T1005: Data from Local System</w:t>
      </w:r>
      <w:r>
        <w:t xml:space="preserve"> (Tactics: collection)</w:t>
      </w:r>
    </w:p>
    <w:p>
      <w:r>
        <w:rPr>
          <w:b/>
        </w:rPr>
        <w:t xml:space="preserve">• </w:t>
      </w:r>
      <w:r>
        <w:t>T1552.004: Private Keys</w:t>
      </w:r>
      <w:r>
        <w:t xml:space="preserve"> (Tactics: credential-access)</w:t>
      </w:r>
    </w:p>
    <w:p>
      <w:pPr>
        <w:pStyle w:val="Heading2"/>
      </w:pPr>
      <w:r>
        <w:t>Modes of Introduction</w:t>
      </w:r>
    </w:p>
    <w:p>
      <w:r>
        <w:rPr>
          <w:b/>
        </w:rPr>
        <w:t xml:space="preserve">• </w:t>
      </w:r>
      <w:r>
        <w:t>Implementation: N/A</w:t>
      </w:r>
    </w:p>
    <w:p>
      <w:pPr>
        <w:pStyle w:val="Heading2"/>
      </w:pPr>
      <w:r>
        <w:t>Common Consequences</w:t>
      </w:r>
    </w:p>
    <w:p>
      <w:r>
        <w:rPr>
          <w:b/>
        </w:rPr>
        <w:t xml:space="preserve">• </w:t>
      </w:r>
      <w:r>
        <w:t xml:space="preserve">Impact: Read Application Data — Notes: </w:t>
      </w:r>
    </w:p>
    <w:p>
      <w:pPr>
        <w:pStyle w:val="Heading2"/>
      </w:pPr>
      <w:r>
        <w:t>Applicable Platforms</w:t>
      </w:r>
    </w:p>
    <w:p>
      <w:r>
        <w:rPr>
          <w:b/>
        </w:rPr>
        <w:t xml:space="preserve">• </w:t>
      </w:r>
      <w:r>
        <w:t>None (Class: Not Language-Specific, Prevalence: Undetermined)</w:t>
      </w:r>
    </w:p>
    <w:p>
      <w:pPr>
        <w:pStyle w:val="Heading2"/>
      </w:pPr>
      <w:r>
        <w:t>Notes</w:t>
      </w:r>
    </w:p>
    <w:p>
      <w:r>
        <w:rPr>
          <w:b/>
        </w:rPr>
        <w:t xml:space="preserve">• </w:t>
      </w:r>
      <w:r>
        <w:t>Terminology: Different people use "cleartext" and "plaintext" to mean the same thing: the lack of encryption. However, within cryptography, these have more precise meanings. Plaintext is the information just before it is fed into a cryptographic algorithm, including already-encrypted text. Cleartext is any information that is unencrypted, although it might be in an encoded form that is not easily human-readable (such as base64 encoding).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