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CWE-326</w:t>
      </w:r>
    </w:p>
    <w:p>
      <w:pPr>
        <w:pStyle w:val="Heading2"/>
      </w:pPr>
      <w:r>
        <w:t>Description</w:t>
      </w:r>
    </w:p>
    <w:p>
      <w:r>
        <w:t>The product stores or transmits sensitive data using an encryption scheme that is theoretically sound, but is not strong enough for the level of protection required.</w:t>
      </w:r>
    </w:p>
    <w:p>
      <w:pPr>
        <w:pStyle w:val="Heading2"/>
      </w:pPr>
      <w:r>
        <w:t>Extended Description</w:t>
      </w:r>
    </w:p>
    <w:p>
      <w:r>
        <w:t>A weak encryption scheme can be subjected to brute force attacks that have a reasonable chance of succeeding using current attack methods and resources.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CVE-2001-1546: Weak encryption</w:t>
      </w:r>
    </w:p>
    <w:p>
      <w:r>
        <w:rPr>
          <w:b/>
        </w:rPr>
        <w:t xml:space="preserve">• </w:t>
      </w:r>
      <w:r>
        <w:t>CVE-2004-2172: Weak encryption (chosen plaintext attack)</w:t>
      </w:r>
    </w:p>
    <w:p>
      <w:r>
        <w:rPr>
          <w:b/>
        </w:rPr>
        <w:t xml:space="preserve">• </w:t>
      </w:r>
      <w:r>
        <w:t>CVE-2002-1682: Weak encryption</w:t>
      </w:r>
    </w:p>
    <w:p>
      <w:r>
        <w:rPr>
          <w:b/>
        </w:rPr>
        <w:t xml:space="preserve">• </w:t>
      </w:r>
      <w:r>
        <w:t>CVE-2002-1697: Weak encryption produces same ciphertext from the same plaintext blocks.</w:t>
      </w:r>
    </w:p>
    <w:p>
      <w:r>
        <w:rPr>
          <w:b/>
        </w:rPr>
        <w:t xml:space="preserve">• </w:t>
      </w:r>
      <w:r>
        <w:t>CVE-2002-1739: Weak encryption</w:t>
      </w:r>
    </w:p>
    <w:p>
      <w:r>
        <w:rPr>
          <w:b/>
        </w:rPr>
        <w:t xml:space="preserve">• </w:t>
      </w:r>
      <w:r>
        <w:t>CVE-2005-2281: Weak encryption scheme</w:t>
      </w:r>
    </w:p>
    <w:p>
      <w:r>
        <w:rPr>
          <w:b/>
        </w:rPr>
        <w:t xml:space="preserve">• </w:t>
      </w:r>
      <w:r>
        <w:t>CVE-2002-1872: Weak encryption (XOR)</w:t>
      </w:r>
    </w:p>
    <w:p>
      <w:r>
        <w:rPr>
          <w:b/>
        </w:rPr>
        <w:t xml:space="preserve">• </w:t>
      </w:r>
      <w:r>
        <w:t>CVE-2002-1910: Weak encryption (reversible algorithm).</w:t>
      </w:r>
    </w:p>
    <w:p>
      <w:r>
        <w:rPr>
          <w:b/>
        </w:rPr>
        <w:t xml:space="preserve">• </w:t>
      </w:r>
      <w:r>
        <w:t>CVE-2002-1946: Weak encryption (one-to-one mapping).</w:t>
      </w:r>
    </w:p>
    <w:p>
      <w:r>
        <w:rPr>
          <w:b/>
        </w:rPr>
        <w:t xml:space="preserve">• </w:t>
      </w:r>
      <w:r>
        <w:t>CVE-2002-1975: Encryption error uses fixed salt, simplifying brute force / dictionary attacks (overlaps randomness).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CAPEC-112</w:t>
      </w:r>
    </w:p>
    <w:p>
      <w:pPr>
        <w:pStyle w:val="ListBullet"/>
      </w:pPr>
      <w:r>
        <w:t>CAPEC-192</w:t>
      </w:r>
    </w:p>
    <w:p>
      <w:pPr>
        <w:pStyle w:val="ListBullet"/>
      </w:pPr>
      <w:r>
        <w:t>CAPEC-20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T1110: Brute Force</w:t>
      </w:r>
      <w:r>
        <w:t xml:space="preserve"> (Tactics: credential-access)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Read Application Data — Notes: An attacker may be able to decrypt the data using brute force attacks.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an encryption scheme that is currently considered to be strong by experts in the field.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