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CWE-340</w:t>
      </w:r>
    </w:p>
    <w:p>
      <w:pPr>
        <w:pStyle w:val="Heading2"/>
      </w:pPr>
      <w:r>
        <w:t>Description</w:t>
      </w:r>
    </w:p>
    <w:p>
      <w:r>
        <w:t>The product uses a scheme that generates numbers or identifiers that are more predictable than required.</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CVE-2022-29330: Product for administering PBX systems uses predictable identifiers and timestamps for filenames (CWE-340) which allows attackers to access files via direct request (CWE-425).</w:t>
      </w:r>
    </w:p>
    <w:p>
      <w:r>
        <w:rPr>
          <w:b/>
        </w:rPr>
        <w:t xml:space="preserve">• </w:t>
      </w:r>
      <w:r>
        <w:t>CVE-2001-1141: PRNG allows attackers to use the output of small PRNG requests to determine the internal state information, which could be used by attackers to predict future pseudo-random numbers.</w:t>
      </w:r>
    </w:p>
    <w:p>
      <w:r>
        <w:rPr>
          <w:b/>
        </w:rPr>
        <w:t xml:space="preserve">• </w:t>
      </w:r>
      <w:r>
        <w:t>CVE-1999-0074: Listening TCP ports are sequentially allocated, allowing spoofing attacks.</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Demonstrative Examples</w:t>
      </w:r>
    </w:p>
    <w:p>
      <w:r>
        <w:rPr>
          <w:b/>
        </w:rPr>
        <w:t xml:space="preserve">• </w:t>
      </w:r>
      <w:r>
        <w:t>Because the seed for the PRNG is always the user's ID, the session ID will always be the same. An attacker could thus predict any user's session ID and potentially hijack the session.</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