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CWE-349</w:t>
      </w:r>
    </w:p>
    <w:p>
      <w:pPr>
        <w:pStyle w:val="Heading2"/>
      </w:pPr>
      <w:r>
        <w:t>Description</w:t>
      </w:r>
    </w:p>
    <w:p>
      <w:r>
        <w:t>The product, when processing trusted data, accepts any untrusted data that is also included with the trusted data, treating the untrusted data as if it were trusted.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CVE-2002-0018: Does not verify that trusted entity is authoritative for all entities in its response.</w:t>
      </w:r>
    </w:p>
    <w:p>
      <w:r>
        <w:rPr>
          <w:b/>
        </w:rPr>
        <w:t xml:space="preserve">• </w:t>
      </w:r>
      <w:r>
        <w:t>CVE-2006-5462: use of extra data in a signature allows certificate signature forging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CAPEC-141</w:t>
      </w:r>
    </w:p>
    <w:p>
      <w:pPr>
        <w:pStyle w:val="ListBullet"/>
      </w:pPr>
      <w:r>
        <w:t>CAPEC-142</w:t>
      </w:r>
    </w:p>
    <w:p>
      <w:pPr>
        <w:pStyle w:val="ListBullet"/>
      </w:pPr>
      <w:r>
        <w:t>CAPEC-75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T1584.002: DNS Server</w:t>
      </w:r>
      <w:r>
        <w:t xml:space="preserve"> (Tactics: resource-development)</w:t>
      </w:r>
    </w:p>
    <w:p>
      <w:r>
        <w:rPr>
          <w:b/>
        </w:rPr>
        <w:t xml:space="preserve">• </w:t>
      </w:r>
      <w:r>
        <w:t>T1557.002: ARP Cache Poisoning</w:t>
      </w:r>
      <w:r>
        <w:t xml:space="preserve"> (Tactics: credential-access, collection)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Bypass Protection Mechanism, Modify Application Data — Notes: An attacker could package untrusted data with trusted data to bypass protection mechanisms to gain access to and possibly modify sensitive data.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