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CWE-386</w:t>
      </w:r>
    </w:p>
    <w:p>
      <w:pPr>
        <w:pStyle w:val="Heading2"/>
      </w:pPr>
      <w:r>
        <w:t>Description</w:t>
      </w:r>
    </w:p>
    <w:p>
      <w:r>
        <w:t>A constant symbolic reference to an object is used, even though the reference can resolve to a different object over time.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The attacker can gain access to otherwise unauthorized resources.</w:t>
      </w:r>
    </w:p>
    <w:p>
      <w:r>
        <w:rPr>
          <w:b/>
        </w:rPr>
        <w:t xml:space="preserve">• </w:t>
      </w:r>
      <w:r>
        <w:t>Impact: Modify Application Data, Modify Files or Directories, Read Application Data, Read Files or Directories, Other — Notes: Race conditions such as this kind may be employed to gain read or write access to resources not normally readable or writable by the user in question.</w:t>
      </w:r>
    </w:p>
    <w:p>
      <w:r>
        <w:rPr>
          <w:b/>
        </w:rPr>
        <w:t xml:space="preserve">• </w:t>
      </w:r>
      <w:r>
        <w:t>Impact: Modify Application Data, Other — Notes: The resource in question, or other resources (through the corrupted one) may be changed in undesirable ways by a malicious user.</w:t>
      </w:r>
    </w:p>
    <w:p>
      <w:r>
        <w:rPr>
          <w:b/>
        </w:rPr>
        <w:t xml:space="preserve">• </w:t>
      </w:r>
      <w:r>
        <w:t>Impact: Hide Activities — Notes: If a file or other resource is written in this method, as opposed to a valid way, logging of the activity may not occur.</w:t>
      </w:r>
    </w:p>
    <w:p>
      <w:r>
        <w:rPr>
          <w:b/>
        </w:rPr>
        <w:t xml:space="preserve">• </w:t>
      </w:r>
      <w:r>
        <w:t>Impact: Modify Files or Directories — Notes: In some cases it may be possible to delete files that a malicious user might not otherwise have access to -- such as log files.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