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CWE-395</w:t>
      </w:r>
    </w:p>
    <w:p>
      <w:pPr>
        <w:pStyle w:val="Heading2"/>
      </w:pPr>
      <w:r>
        <w:t>Description</w:t>
      </w:r>
    </w:p>
    <w:p>
      <w:r>
        <w:t>Catching NullPointerException should not be used as an alternative to programmatic checks to prevent dereferencing a null pointer.</w:t>
      </w:r>
    </w:p>
    <w:p>
      <w:pPr>
        <w:pStyle w:val="Heading2"/>
      </w:pPr>
      <w:r>
        <w:t>Extended Description</w:t>
      </w:r>
    </w:p>
    <w:p>
      <w:r>
        <w:t>Programmers typically catch NullPointerException under three circumstances: The program contains a null pointer dereference. Catching the resulting exception was easier than fixing the underlying problem. The program explicitly throws a NullPointerException to signal an error condition. The code is part of a test harness that supplies unexpected input to the classes under test. Of these three circumstances, only the last is acceptable.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DoS: Resource Consumption (CPU)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Do not extensively rely on catching exceptions (especially for validating user input) to handle errors. Handling exceptions can decrease the performance of an application.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