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CWE-421</w:t>
      </w:r>
    </w:p>
    <w:p>
      <w:pPr>
        <w:pStyle w:val="Heading2"/>
      </w:pPr>
      <w:r>
        <w:t>Description</w:t>
      </w:r>
    </w:p>
    <w:p>
      <w:r>
        <w:t>The product opens an alternate channel to communicate with an authorized user, but the channel is accessible to other actors.</w:t>
      </w:r>
    </w:p>
    <w:p>
      <w:pPr>
        <w:pStyle w:val="Heading2"/>
      </w:pPr>
      <w:r>
        <w:t>Extended Description</w:t>
      </w:r>
    </w:p>
    <w:p>
      <w:r>
        <w:t>This creates a race condition that allows an attacker to access the channel before the authorized user does.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CVE-1999-0351: FTP "Pizza Thief" vulnerability. Attacker can connect to a port that was intended for use by another client.</w:t>
      </w:r>
    </w:p>
    <w:p>
      <w:r>
        <w:rPr>
          <w:b/>
        </w:rPr>
        <w:t xml:space="preserve">• </w:t>
      </w:r>
      <w:r>
        <w:t>CVE-2003-0230: Product creates Windows named pipe during authentication that another attacker can hijack by connecting to it.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Gain Privileges or Assume Identity, Bypass Protection Mechanism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