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CWE-446</w:t>
      </w:r>
    </w:p>
    <w:p>
      <w:pPr>
        <w:pStyle w:val="Heading2"/>
      </w:pPr>
      <w:r>
        <w:t>Description</w:t>
      </w:r>
    </w:p>
    <w:p>
      <w:r>
        <w:t>The user interface does not correctly enable or configure a security feature, but the interface provides feedback that causes the user to believe that the feature is in a secure state.</w:t>
      </w:r>
    </w:p>
    <w:p>
      <w:pPr>
        <w:pStyle w:val="Heading2"/>
      </w:pPr>
      <w:r>
        <w:t>Extended Description</w:t>
      </w:r>
    </w:p>
    <w:p>
      <w:r>
        <w:t>When the user interface does not properly reflect what the user asks of it, then it can lead the user into a false sense of security. For example, the user might check a box to enable a security option to enable encrypted communications, but the product does not actually enable the encryption. Alternately, the user might provide a "restrict ALL" access control rule, but the product only implements "restrict SOME".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CVE-1999-1446: UI inconsistency; visited URLs list not cleared when "Clear History" option is selected.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entry is likely a loose composite that could be broken down into the different types of errors that cause the user interface to have incorrect interactions with the underlying security feature.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