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CWE-449</w:t>
      </w:r>
    </w:p>
    <w:p>
      <w:pPr>
        <w:pStyle w:val="Heading2"/>
      </w:pPr>
      <w:r>
        <w:t>Description</w:t>
      </w:r>
    </w:p>
    <w:p>
      <w:r>
        <w:t>The UI performs the wrong action with respect to the user's request.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CVE-2001-1387: Network firewall accidentally implements one command line option as if it were another, possibly leading to behavioral infoleak.</w:t>
      </w:r>
    </w:p>
    <w:p>
      <w:r>
        <w:rPr>
          <w:b/>
        </w:rPr>
        <w:t xml:space="preserve">• </w:t>
      </w:r>
      <w:r>
        <w:t>CVE-2001-0081: Command line option correctly suppresses a user prompt but does not properly disable a feature, although when the product prompts the user, the feature is properly disabled.</w:t>
      </w:r>
    </w:p>
    <w:p>
      <w:r>
        <w:rPr>
          <w:b/>
        </w:rPr>
        <w:t xml:space="preserve">• </w:t>
      </w:r>
      <w:r>
        <w:t>CVE-2002-1977: Product does not "time out" according to user specification, leaving sensitive data available after it has expired.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Quality Degradation, Varies by Context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Testing: Perform extensive functionality testing of the UI. The UI should behave as specified.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