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CWE-496</w:t>
      </w:r>
    </w:p>
    <w:p>
      <w:pPr>
        <w:pStyle w:val="Heading2"/>
      </w:pPr>
      <w:r>
        <w:t>Description</w:t>
      </w:r>
    </w:p>
    <w:p>
      <w:r>
        <w:t>Assigning public data to a private array is equivalent to giving public access to the array.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Modify Application Data — Notes: The contents of the array can be modified from outside the intended scope.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Do not allow objects to modify private members of a class.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C (Class: None, Prevalence: Undetermined)</w:t>
      </w:r>
    </w:p>
    <w:p>
      <w:r>
        <w:rPr>
          <w:b/>
        </w:rPr>
        <w:t xml:space="preserve">• </w:t>
      </w:r>
      <w:r>
        <w:t>C++ (Class: None, Prevalence: Undetermined)</w:t>
      </w:r>
    </w:p>
    <w:p>
      <w:r>
        <w:rPr>
          <w:b/>
        </w:rPr>
        <w:t xml:space="preserve">• </w:t>
      </w:r>
      <w:r>
        <w:t>Java (Class: None, Prevalence: Undetermined)</w:t>
      </w:r>
    </w:p>
    <w:p>
      <w:r>
        <w:rPr>
          <w:b/>
        </w:rPr>
        <w:t xml:space="preserve">• </w:t>
      </w:r>
      <w:r>
        <w:t>C# (Class: None,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N/A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