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CWE-501</w:t>
      </w:r>
    </w:p>
    <w:p>
      <w:pPr>
        <w:pStyle w:val="Heading2"/>
      </w:pPr>
      <w:r>
        <w:t>Description</w:t>
      </w:r>
    </w:p>
    <w:p>
      <w:r>
        <w:t>The product mixes trusted and untrusted data in the same data structure or structured message.</w:t>
      </w:r>
    </w:p>
    <w:p>
      <w:pPr>
        <w:pStyle w:val="Heading2"/>
      </w:pPr>
      <w:r>
        <w:t>Extended Description</w:t>
      </w:r>
    </w:p>
    <w:p>
      <w:r>
        <w:t>A trust boundary can be thought of as line drawn through a program. On one side of the line, data is untrusted. On the other side of the line, data is assumed to be trustworthy. The purpose of validation logic is to allow data to safely cross the trust boundary - to move from untrusted to trusted. A trust boundary violation occurs when a program blurs the line between what is trusted and what is untrusted. By combining trusted and untrusted data in the same data structure, it becomes easier for programmers to mistakenly trust unvalidated data.</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 xml:space="preserve">Impact: Bypass Protection Mechanism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Without well-established and maintained trust boundaries, programmers will inevitably lose track of which pieces of data have been validated and which have not. This confusion will eventually allow some data to be used without first being validated.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