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CWE-511</w:t>
      </w:r>
    </w:p>
    <w:p>
      <w:pPr>
        <w:pStyle w:val="Heading2"/>
      </w:pPr>
      <w:r>
        <w:t>Description</w:t>
      </w:r>
    </w:p>
    <w:p>
      <w:r>
        <w:t>The product contains code that is designed to disrupt the legitimate operation of the product (or its environment) when a certain time passes, or when a certain logical condition is met.</w:t>
      </w:r>
    </w:p>
    <w:p>
      <w:pPr>
        <w:pStyle w:val="Heading2"/>
      </w:pPr>
      <w:r>
        <w:t>Extended Description</w:t>
      </w:r>
    </w:p>
    <w:p>
      <w:r>
        <w:t>When the time bomb or logic bomb is detonated, it may perform a denial of service such as crashing the system, deleting critical data, or degrading system response time. This bomb might be placed within either a replicating or non-replicating Trojan horse.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Varies by Context, Alter Execution Logic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Installation: Always verify the integrity of the product that is being installed. (Effectiveness: N/A)</w:t>
      </w:r>
    </w:p>
    <w:p>
      <w:r>
        <w:rPr>
          <w:b/>
        </w:rPr>
        <w:t xml:space="preserve">• </w:t>
      </w:r>
      <w:r>
        <w:t>Testing: Conduct a code coverage analysis using live testing, then closely inspect any code that is not covered.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