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CWE-54</w:t>
      </w:r>
    </w:p>
    <w:p>
      <w:pPr>
        <w:pStyle w:val="Heading2"/>
      </w:pPr>
      <w:r>
        <w:t>Description</w:t>
      </w:r>
    </w:p>
    <w:p>
      <w:r>
        <w:t>The product accepts path input in the form of trailing backslash ('filedir\') without appropriate validation, which can lead to ambiguous path resolution and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CVE-2004-0847: web framework for .NET allows remote attackers to bypass authentication for .aspx files in restricted directories via a request containing a (1) "\" (backslash) or (2) "%5C" (encoded backslash)</w:t>
      </w:r>
    </w:p>
    <w:p>
      <w:r>
        <w:rPr>
          <w:b/>
        </w:rPr>
        <w:t xml:space="preserve">• </w:t>
      </w:r>
      <w:r>
        <w:t>CVE-2004-0061: Bypass directory access restrictions using trailing dot in URL</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