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CWE-556</w:t>
      </w:r>
    </w:p>
    <w:p>
      <w:pPr>
        <w:pStyle w:val="Heading2"/>
      </w:pPr>
      <w:r>
        <w:t>Description</w:t>
      </w:r>
    </w:p>
    <w:p>
      <w:r>
        <w:t>Configuring an ASP.NET application to run with impersonated credentials may give the application unnecessary privileges.</w:t>
      </w:r>
    </w:p>
    <w:p>
      <w:pPr>
        <w:pStyle w:val="Heading2"/>
      </w:pPr>
      <w:r>
        <w:t>Extended Description</w:t>
      </w:r>
    </w:p>
    <w:p>
      <w:r>
        <w:t>The use of impersonated credentials allows an ASP.NET application to run with either the privileges of the client on whose behalf it is executing or with arbitrary privileges granted in its configuration.</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Architecture and Design: Use the least privilege principle.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