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CWE-57</w:t>
      </w:r>
    </w:p>
    <w:p>
      <w:pPr>
        <w:pStyle w:val="Heading2"/>
      </w:pPr>
      <w:r>
        <w:t>Description</w:t>
      </w:r>
    </w:p>
    <w:p>
      <w:r>
        <w:t>The product contains protection mechanisms to restrict access to 'realdir/filename', but it constructs pathnames using external input in the form of 'fakedir/../realdir/filename' that are not handled by those mechanisms. This allows attackers to perform unauthorized actions against the targeted file.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CVE-2001-1152: Proxy allows remote attackers to bypass denylist restrictions and connect to unauthorized web servers by modifying the requested URL, including (1) a // (double slash), (2) a /SUBDIR/.. where the desired file is in the parentdir, (3) a /./, or (4) URL-encoded characters.</w:t>
      </w:r>
    </w:p>
    <w:p>
      <w:r>
        <w:rPr>
          <w:b/>
        </w:rPr>
        <w:t xml:space="preserve">• </w:t>
      </w:r>
      <w:r>
        <w:t>CVE-2000-0191: application check access for restricted URL before canonicalization</w:t>
      </w:r>
    </w:p>
    <w:p>
      <w:r>
        <w:rPr>
          <w:b/>
        </w:rPr>
        <w:t xml:space="preserve">• </w:t>
      </w:r>
      <w:r>
        <w:t>CVE-2005-1366: CGI source disclosure using "dirname/../cgi-bin"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Files or Directories, Modify Files or Directories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Inputs should be decoded and canonicalized to the application's current internal representation before being validated (CWE-180). Make sure that the application does not decode the same input twice (CWE-174). Such errors could be used to bypass allowlist validation schemes by introducing dangerous inputs after they have been checked.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Theoretical: This is a manipulation that uses an injection for one consequence (containment violation using relative path) to achieve a different consequence (equivalence by alternate name).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