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CWE-573</w:t>
      </w:r>
    </w:p>
    <w:p>
      <w:pPr>
        <w:pStyle w:val="Heading2"/>
      </w:pPr>
      <w:r>
        <w:t>Description</w:t>
      </w:r>
    </w:p>
    <w:p>
      <w:r>
        <w:t>The product does not follow or incorrectly follows the specifications as required by the implementation language, environment, framework, protocol, or platform.</w:t>
      </w:r>
    </w:p>
    <w:p>
      <w:pPr>
        <w:pStyle w:val="Heading2"/>
      </w:pPr>
      <w:r>
        <w:t>Extended Description</w:t>
      </w:r>
    </w:p>
    <w:p>
      <w:r>
        <w:t>When leveraging external functionality, such as an API, it is important that the caller does so in accordance with the requirements of the external functionality or else unintended behaviors may result, possibly leaving the system vulnerable to any number of exploits.</w:t>
      </w:r>
    </w:p>
    <w:p>
      <w:pPr>
        <w:pStyle w:val="Heading2"/>
      </w:pPr>
      <w:r>
        <w:t>Threat-Mapped Scoring</w:t>
      </w:r>
    </w:p>
    <w:p>
      <w:r>
        <w:t>Score: 0.0</w:t>
      </w:r>
    </w:p>
    <w:p>
      <w:r>
        <w:t>Priority: Unclassified</w:t>
      </w:r>
    </w:p>
    <w:p>
      <w:pPr>
        <w:pStyle w:val="Heading2"/>
      </w:pPr>
      <w:r>
        <w:t>Observed Examples (CVEs)</w:t>
      </w:r>
    </w:p>
    <w:p>
      <w:r>
        <w:rPr>
          <w:b/>
        </w:rPr>
        <w:t xml:space="preserve">• </w:t>
      </w:r>
      <w:r>
        <w:t>CVE-2006-7140: Crypto implementation removes padding when it shouldn't, allowing forged signatures</w:t>
      </w:r>
    </w:p>
    <w:p>
      <w:r>
        <w:rPr>
          <w:b/>
        </w:rPr>
        <w:t xml:space="preserve">• </w:t>
      </w:r>
      <w:r>
        <w:t>CVE-2006-4339: Crypto implementation removes padding when it shouldn't, allowing forged signatures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Varies by Context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