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CWE-581</w:t>
      </w:r>
    </w:p>
    <w:p>
      <w:pPr>
        <w:pStyle w:val="Heading2"/>
      </w:pPr>
      <w:r>
        <w:t>Description</w:t>
      </w:r>
    </w:p>
    <w:p>
      <w:r>
        <w:t>The product does not maintain equal hashcodes for equal objects.</w:t>
      </w:r>
    </w:p>
    <w:p>
      <w:pPr>
        <w:pStyle w:val="Heading2"/>
      </w:pPr>
      <w:r>
        <w:t>Extended Description</w:t>
      </w:r>
    </w:p>
    <w:p>
      <w:r>
        <w:t>Java objects are expected to obey a number of invariants related to equality. One of these invariants is that equal objects must have equal hashcodes. In other words, if a.equals(b) == true then a.hashCode() == b.hashCode().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Other — Notes: If this invariant is not upheld, it is likely to cause trouble if objects of this class are stored in a collection. If the objects of the class in question are used as a key in a Hashtable or if they are inserted into a Map or Set, it is critical that equal objects have equal hashcodes.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Both Equals() and Hashcode() should be defined.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Java (Class: None, Prevalence: Undetermined)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