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CWE-593</w:t>
      </w:r>
    </w:p>
    <w:p>
      <w:pPr>
        <w:pStyle w:val="Heading2"/>
      </w:pPr>
      <w:r>
        <w:t>Description</w:t>
      </w:r>
    </w:p>
    <w:p>
      <w:r>
        <w:t>The product modifies the SSL context after connection creation has begun.</w:t>
      </w:r>
    </w:p>
    <w:p>
      <w:pPr>
        <w:pStyle w:val="Heading2"/>
      </w:pPr>
      <w:r>
        <w:t>Extended Description</w:t>
      </w:r>
    </w:p>
    <w:p>
      <w:r>
        <w:t>If the program modifies the SSL_CTX object after creating SSL objects from it, there is the possibility that older SSL objects created from the original context could all be affected by that change.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CAPEC-94</w:t>
      </w:r>
    </w:p>
    <w:p>
      <w:pPr>
        <w:pStyle w:val="Heading2"/>
      </w:pPr>
      <w:r>
        <w:t>Attack TTPs</w:t>
      </w:r>
    </w:p>
    <w:p>
      <w:r>
        <w:rPr>
          <w:b/>
        </w:rPr>
        <w:t xml:space="preserve">• </w:t>
      </w:r>
      <w:r>
        <w:t>T1557: Adversary-in-the-Middle</w:t>
      </w:r>
      <w:r>
        <w:t xml:space="preserve"> (Tactics: credential-access, collection)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REALIZATION: This weakness is caused during implementation of an architectural security tactic.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Bypass Protection Mechanism — Notes: No authentication takes place in this process, bypassing an assumed protection of encryption.</w:t>
      </w:r>
    </w:p>
    <w:p>
      <w:r>
        <w:rPr>
          <w:b/>
        </w:rPr>
        <w:t xml:space="preserve">• </w:t>
      </w:r>
      <w:r>
        <w:t>Impact: Read Application Data — Notes: The encrypted communication between a user and a trusted host may be subject to a sniffing attack.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Use a language or a library that provides a cryptography framework at a higher level of abstraction. (Effectiveness: N/A)</w:t>
      </w:r>
    </w:p>
    <w:p>
      <w:r>
        <w:rPr>
          <w:b/>
        </w:rPr>
        <w:t xml:space="preserve">• </w:t>
      </w:r>
      <w:r>
        <w:t>Implementation: Most SSL_CTX functions have SSL counterparts that act on SSL-type objects. (Effectiveness: N/A)</w:t>
      </w:r>
    </w:p>
    <w:p>
      <w:r>
        <w:rPr>
          <w:b/>
        </w:rPr>
        <w:t xml:space="preserve">• </w:t>
      </w:r>
      <w:r>
        <w:t>Implementation: Applications should set up an SSL_CTX completely, before creating SSL objects from it. (Effectiveness: N/A)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N/A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