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CWE-653</w:t>
      </w:r>
    </w:p>
    <w:p>
      <w:pPr>
        <w:pStyle w:val="Heading2"/>
      </w:pPr>
      <w:r>
        <w:t>Description</w:t>
      </w:r>
    </w:p>
    <w:p>
      <w:r>
        <w:t>The product does not properly compartmentalize or isolate functionality, processes, or resources that require different privilege levels, rights, or permissions.</w:t>
      </w:r>
    </w:p>
    <w:p>
      <w:pPr>
        <w:pStyle w:val="Heading2"/>
      </w:pPr>
      <w:r>
        <w:t>Extended Description</w:t>
      </w:r>
    </w:p>
    <w:p>
      <w:r>
        <w:t>When a weakness occurs in functionality that is accessible by lower-privileged users, then without strong boundaries, an attack might extend the scope of the damage to higher-privileged users.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CVE-2021-33096: Improper isolation of shared resource in a network-on-chip leads to denial of service</w:t>
      </w:r>
    </w:p>
    <w:p>
      <w:r>
        <w:rPr>
          <w:b/>
        </w:rPr>
        <w:t xml:space="preserve">• </w:t>
      </w:r>
      <w:r>
        <w:t>CVE-2019-6260: Baseboard Management Controller (BMC) device implements Advanced High-performance Bus (AHB) bridges that do not require authentication for arbitrary read and write access to the BMC's physical address space from the host, and possibly the network [REF-1138].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COMMISSION: This weakness refers to an incorrect design related to an architectural security tactic.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Gain Privileges or Assume Identity, Bypass Protection Mechanism — Notes: The exploitation of a weakness in low-privileged areas of the software can be leveraged to reach higher-privileged areas without having to overcome any additional obstacles.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Break up privileges between different modules, objects, or entities. Minimize the interfaces between modules and require strong access control between them.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p>
      <w:r>
        <w:rPr>
          <w:b/>
        </w:rPr>
        <w:t xml:space="preserve">• </w:t>
      </w:r>
      <w:r>
        <w:t>N/A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Relationship: There is a close association with CWE-250 (Execution with Unnecessary Privileges). CWE-653 is about providing separate components for each "privilege"; CWE-250 is about ensuring that each component has the least amount of privileges possible. In this fashion, compartmentalization becomes one mechanism for reducing privileges.</w:t>
      </w:r>
    </w:p>
    <w:p>
      <w:r>
        <w:rPr>
          <w:b/>
        </w:rPr>
        <w:t xml:space="preserve">• </w:t>
      </w:r>
      <w:r>
        <w:t>Terminology: The term "Separation of Privilege" is used in several different ways in the industry, but they generally combine two closely related principles: compartmentalization (this node) and using only one factor in a security decision (CWE-654). Proper compartmentalization implicitly introduces multiple factors into a security decision, but there can be cases in which multiple factors are required for authentication or other mechanisms that do not involve compartmentalization, such as performing all required checks on a submitted certificate. It is likely that CWE-653 and CWE-654 will provoke further discussion.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