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CWE-925</w:t>
      </w:r>
    </w:p>
    <w:p>
      <w:pPr>
        <w:pStyle w:val="Heading2"/>
      </w:pPr>
      <w:r>
        <w:t>Description</w:t>
      </w:r>
    </w:p>
    <w:p>
      <w:r>
        <w:t>The Android application uses a Broadcast Receiver that receives an Intent but does not properly verify that the Intent came from an authorized source.</w:t>
      </w:r>
    </w:p>
    <w:p>
      <w:pPr>
        <w:pStyle w:val="Heading2"/>
      </w:pPr>
      <w:r>
        <w:t>Extended Description</w:t>
      </w:r>
    </w:p>
    <w:p>
      <w:r>
        <w:t>Certain types of Intents, identified by action string, can only be broadcast by the operating system itself, not by third-party applications. However, when an application registers to receive these implicit system intents, it is also registered to receive any explicit intents. While a malicious application cannot send an implicit system intent, it can send an explicit intent to the target application, which may assume that any received intent is a valid implicit system intent and not an explicit intent from another application. This may lead to unintended behavior.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CAPEC-499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 — Notes: Another application can impersonate the operating system and cause the software to perform an unintended action.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Before acting on the Intent, check the Intent Action to make sure it matches the expected System action.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ShutdownReceiver class will handle the intent: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will be made more comprehensive in later CWE versions.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