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T1031</w:t>
      </w:r>
    </w:p>
    <w:p>
      <w:pPr>
        <w:pStyle w:val="Heading2"/>
      </w:pPr>
      <w:r>
        <w:t>TTP Information</w:t>
      </w:r>
    </w:p>
    <w:p>
      <w:r>
        <w:t>Name: Modify Existing Service</w:t>
      </w:r>
    </w:p>
    <w:p>
      <w:r>
        <w:t>Description: Windows service configuration information, including the file path to the service's executable or recovery programs/commands, is stored in the Registry. Service configurations can be modified using utilities such as sc.exe and [Reg](https://attack.mitre.org/software/S0075).</w:t>
        <w:br/>
        <w:br/>
        <w:t>Adversaries can modify an existing service to persist malware on a system by using system utilities or by using custom tools to interact with the Windows API. Use of existing services is a type of [Masquerading](https://attack.mitre.org/techniques/T1036) that may make detection analysis more challenging. Modifying existing services may interrupt their functionality or may enable services that are disabled or otherwise not commonly used.</w:t>
        <w:br/>
        <w:br/>
        <w:t>Adversaries may also intentionally corrupt or kill services to execute malicious recovery programs/commands. (Citation: Twitter Service Recovery Nov 2017) (Citation: Microsoft Service Recovery Feb 2013)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persistence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