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T1152</w:t>
      </w:r>
    </w:p>
    <w:p>
      <w:pPr>
        <w:pStyle w:val="Heading2"/>
      </w:pPr>
      <w:r>
        <w:t>TTP Information</w:t>
      </w:r>
    </w:p>
    <w:p>
      <w:r>
        <w:t>Name: Launchctl</w:t>
      </w:r>
    </w:p>
    <w:p>
      <w:r>
        <w:t xml:space="preserve">Description: Launchctl controls the macOS launchd process which handles things like launch agents and launch daemons, but can execute other commands or programs itself. Launchctl supports taking subcommands on the command-line, interactively, or even redirected from standard input. By loading or reloading launch agents or launch daemons, adversaries can install persistence or execute changes they made  (Citation: Sofacy Komplex Trojan). Running a command from launchctl is as simple as &lt;code&gt;launchctl submit -l &lt;labelName&gt; -- /Path/to/thing/to/execute "arg" "arg" "arg"&lt;/code&gt;. Loading, unloading, or reloading launch agents or launch daemons can require elevated privileges. </w:t>
        <w:br/>
        <w:br/>
        <w:t>Adversaries can abuse this functionality to execute code or even bypass whitelisting if launchctl is an allowed process.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