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T1209</w:t>
      </w:r>
    </w:p>
    <w:p>
      <w:pPr>
        <w:pStyle w:val="Heading2"/>
      </w:pPr>
      <w:r>
        <w:t>TTP Information</w:t>
      </w:r>
    </w:p>
    <w:p>
      <w:r>
        <w:t>Name: Time Providers</w:t>
      </w:r>
    </w:p>
    <w:p>
      <w:r>
        <w:t>Description: The Windows Time service (W32Time) enables time synchronization across and within domains. (Citation: Microsoft W32Time Feb 2018) W32Time time providers are responsible for retrieving time stamps from hardware/network resources and outputting these values to other network clients. (Citation: Microsoft TimeProvider)</w:t>
        <w:br/>
        <w:br/>
        <w:t>Time providers are implemented as dynamic-link libraries (DLLs) that are registered in the subkeys of  &lt;code&gt;HKEY_LOCAL_MACHINE\System\CurrentControlSet\Services\W32Time\TimeProviders\&lt;/code&gt;. (Citation: Microsoft TimeProvider) The time provider manager, directed by the service control manager, loads and starts time providers listed and enabled under this key at system startup and/or whenever parameters are changed. (Citation: Microsoft TimeProvider)</w:t>
        <w:br/>
        <w:br/>
        <w:t>Adversaries may abuse this architecture to establish Persistence, specifically by registering and enabling a malicious DLL as a time provider. Administrator privileges are required for time provider registration, though execution will run in context of the Local Service account. (Citation: Github W32Time Oct 2017)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