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T1211</w:t>
      </w:r>
    </w:p>
    <w:p>
      <w:pPr>
        <w:pStyle w:val="Heading2"/>
      </w:pPr>
      <w:r>
        <w:t>TTP Information</w:t>
      </w:r>
    </w:p>
    <w:p>
      <w:r>
        <w:t>Name: Exploitation for Defense Evasion</w:t>
      </w:r>
    </w:p>
    <w:p>
      <w:r>
        <w:t>Description: Adversaries may exploit a system or application vulnerability to bypass security features. Exploitation of a vulnerability occurs when an adversary takes advantage of a programming error in a program, service, or within the operating system software or kernel itself to execute adversary-controlled code. Vulnerabilities may exist in defensive security software that can be used to disable or circumvent them.</w:t>
        <w:br/>
        <w:br/>
        <w:t>Adversaries may have prior knowledge through reconnaissance that security software exists within an environment or they may perform checks during or shortly after the system is compromised for [Security Software Discovery](https://attack.mitre.org/techniques/T1518/001). The security software will likely be targeted directly for exploitation. There are examples of antivirus software being targeted by persistent threat groups to avoid detection.</w:t>
        <w:br/>
        <w:br/>
        <w:t>There have also been examples of vulnerabilities in public cloud infrastructure of SaaS applications that may bypass defense boundaries (Citation: Salesforce zero-day in facebook phishing attack), evade security logs (Citation: Bypassing CloudTrail in AWS Service Catalog), or deploy hidden infrastructure.(Citation: GhostToken GCP flaw)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p>
      <w:pPr>
        <w:pStyle w:val="ListBullet"/>
      </w:pPr>
      <w:r>
        <w:t>Velvet Ant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