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T1485.001</w:t>
      </w:r>
    </w:p>
    <w:p>
      <w:pPr>
        <w:pStyle w:val="Heading2"/>
      </w:pPr>
      <w:r>
        <w:t>TTP Information</w:t>
      </w:r>
    </w:p>
    <w:p>
      <w:r>
        <w:t>Name: Lifecycle-Triggered Deletion</w:t>
      </w:r>
    </w:p>
    <w:p>
      <w:r>
        <w:t xml:space="preserve">Description: Adversaries may modify the lifecycle policies of a cloud storage bucket to destroy all objects stored within.  </w:t>
        <w:br/>
        <w:br/>
        <w:t xml:space="preserve">Cloud storage buckets often allow users to set lifecycle policies to automate the migration, archival, or deletion of objects after a set period of time.(Citation: AWS Storage Lifecycles)(Citation: GCP Storage Lifecycles)(Citation: Azure Storage Lifecycles) If a threat actor has sufficient permissions to modify these policies, they may be able to delete all objects at once. </w:t>
        <w:br/>
        <w:br/>
        <w:t>For example, in AWS environments, an adversary with the `PutLifecycleConfiguration` permission may use the `PutBucketLifecycle` API call to apply a lifecycle policy to an S3 bucket that deletes all objects in the bucket after one day.(Citation: Palo Alto Cloud Ransomware)(Citation: Halcyon AWS Ransomware 2025) In addition to destroying data for purposes of extortion and [Financial Theft](https://attack.mitre.org/techniques/T1657), adversaries may also perform this action on buckets storing cloud logs for [Indicator Removal](https://attack.mitre.org/techniques/T1070).(Citation: Datadog S3 Lifecycle CloudTrail Logs)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